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/>
    <w:p w14:paraId="04000000">
      <w:pPr>
        <w:ind/>
        <w:jc w:val="both"/>
      </w:pPr>
    </w:p>
    <w:p w14:paraId="05000000">
      <w:pPr>
        <w:widowControl w:val="0"/>
        <w:tabs>
          <w:tab w:leader="none" w:pos="1640" w:val="left"/>
        </w:tabs>
        <w:ind/>
        <w:jc w:val="center"/>
        <w:rPr>
          <w:b w:val="0"/>
          <w:sz w:val="24"/>
        </w:rPr>
      </w:pPr>
      <w:r>
        <w:rPr>
          <w:b w:val="0"/>
          <w:sz w:val="24"/>
        </w:rPr>
        <w:t xml:space="preserve">Объявление о приеме документов для участия в  конкурсе  </w:t>
      </w:r>
      <w:r>
        <w:rPr>
          <w:b w:val="0"/>
          <w:sz w:val="24"/>
        </w:rPr>
        <w:t>на замещение вакантной должности государственной гражданской службы Российской Федерации в ИФНС России по Железнодорожному району г. Самары.</w:t>
      </w:r>
    </w:p>
    <w:p w14:paraId="06000000">
      <w:pPr>
        <w:widowControl w:val="0"/>
        <w:ind/>
        <w:rPr>
          <w:b w:val="0"/>
          <w:sz w:val="20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Железнодорожному району г. Самары в лице начальника инспекции Степановой Ларисы Николаевны,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должностей: </w:t>
      </w:r>
    </w:p>
    <w:p w14:paraId="08000000">
      <w:pPr>
        <w:widowControl w:val="0"/>
        <w:ind w:firstLine="709"/>
        <w:jc w:val="both"/>
        <w:rPr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410"/>
        <w:gridCol w:w="3827"/>
        <w:gridCol w:w="1471"/>
      </w:tblGrid>
      <w:tr>
        <w:tc>
          <w:tcPr>
            <w:tcW w:type="dxa" w:w="2660"/>
            <w:shd w:fill="auto" w:val="clea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410"/>
            <w:shd w:fill="auto" w:val="clea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3827"/>
            <w:shd w:fill="auto" w:val="clea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</w:p>
        </w:tc>
        <w:tc>
          <w:tcPr>
            <w:tcW w:type="dxa" w:w="1471"/>
            <w:shd w:fill="auto" w:val="clear"/>
          </w:tcPr>
          <w:p w14:paraId="0C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D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965"/>
        </w:trPr>
        <w:tc>
          <w:tcPr>
            <w:tcW w:type="dxa" w:w="2660"/>
            <w:shd w:fill="auto" w:val="clear"/>
          </w:tcPr>
          <w:p w14:paraId="0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№2 </w:t>
            </w:r>
          </w:p>
        </w:tc>
        <w:tc>
          <w:tcPr>
            <w:tcW w:type="dxa" w:w="2410"/>
            <w:shd w:fill="auto" w:val="clear"/>
          </w:tcPr>
          <w:p w14:paraId="1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type="dxa" w:w="3827"/>
            <w:shd w:fill="auto" w:val="clear"/>
          </w:tcPr>
          <w:p w14:paraId="11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к стажу</w:t>
            </w:r>
          </w:p>
        </w:tc>
        <w:tc>
          <w:tcPr>
            <w:tcW w:type="dxa" w:w="1471"/>
            <w:shd w:fill="auto" w:val="clear"/>
          </w:tcPr>
          <w:p w14:paraId="1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965"/>
        </w:trPr>
        <w:tc>
          <w:tcPr>
            <w:tcW w:type="dxa" w:w="2660"/>
            <w:shd w:fill="auto" w:val="clear"/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Отдел предпроверочного анализа и истребования докуметов</w:t>
            </w:r>
          </w:p>
        </w:tc>
        <w:tc>
          <w:tcPr>
            <w:tcW w:type="dxa" w:w="2410"/>
            <w:shd w:fill="auto" w:val="clear"/>
          </w:tcPr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type="dxa" w:w="3827"/>
            <w:shd w:fill="auto" w:val="clear"/>
          </w:tcPr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7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к стажу</w:t>
            </w:r>
          </w:p>
        </w:tc>
        <w:tc>
          <w:tcPr>
            <w:tcW w:type="dxa" w:w="1471"/>
            <w:shd w:fill="auto" w:val="clear"/>
          </w:tcPr>
          <w:p w14:paraId="1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19000000">
      <w:pPr>
        <w:widowControl w:val="0"/>
        <w:ind/>
        <w:jc w:val="both"/>
        <w:rPr>
          <w:sz w:val="24"/>
        </w:rPr>
      </w:pPr>
    </w:p>
    <w:p w14:paraId="1A000000">
      <w:pPr>
        <w:widowControl w:val="0"/>
        <w:ind/>
        <w:jc w:val="both"/>
        <w:rPr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25"/>
        <w:gridCol w:w="8543"/>
      </w:tblGrid>
      <w:tr>
        <w:trPr>
          <w:trHeight w:hRule="atLeast" w:val="1692"/>
        </w:trPr>
        <w:tc>
          <w:tcPr>
            <w:tcW w:type="dxa" w:w="1825"/>
            <w:shd w:fill="auto" w:val="clear"/>
          </w:tcPr>
          <w:p w14:paraId="1B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Должностные обязанности</w:t>
            </w:r>
          </w:p>
        </w:tc>
        <w:tc>
          <w:tcPr>
            <w:tcW w:type="dxa" w:w="8543"/>
            <w:shd w:fill="auto" w:val="clear"/>
          </w:tcPr>
          <w:p w14:paraId="1C000000">
            <w:pPr>
              <w:widowControl w:val="0"/>
              <w:ind/>
              <w:rPr>
                <w:u w:val="single"/>
              </w:rPr>
            </w:pPr>
            <w:r>
              <w:rPr>
                <w:u w:val="single"/>
              </w:rPr>
              <w:t xml:space="preserve">Главный государственный налоговый инспектор отдела предпроверочного анализа и истребования документов </w:t>
            </w:r>
          </w:p>
          <w:p w14:paraId="1D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1. готовить проекты решений (заключений) руководству Инспекции о целесообразности/нецелесообразности проведения выездных налоговых проверок организаций, и индивидуальных предпринимателей;</w:t>
            </w:r>
          </w:p>
          <w:p w14:paraId="1E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2. принимать участие в рассмотрении писем, жалоб предприятий, организаций и индивидуальных предпринимателей по вопросам налогообложения;</w:t>
            </w:r>
          </w:p>
          <w:p w14:paraId="1F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3. выполнять своевременно поручения и задания руководства;</w:t>
            </w:r>
          </w:p>
          <w:p w14:paraId="20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4. подготавливать информацию об организациях с признаками «фирм-однодневок», выявленных в ходе проведенных мероприятий налогового контроля;</w:t>
            </w:r>
          </w:p>
          <w:p w14:paraId="21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5. осуществление ежедневного мониторинга сведений о принятии решений налогоплательщиков о начале процедуры реорганизации (ликвидации) на основании сведений, имеющихся в АИС Налог-3, подготовка соответствующих докладных записок, руководствуясь «Регламентом подготовки и планирования ВНП».</w:t>
            </w:r>
          </w:p>
          <w:p w14:paraId="22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6. осуществлять поиск заказчиков сомнительных операций и/иных бенефициаров по взаимодействию с контрагентами, состоящими на учете в иных НО, направление информационных писем.</w:t>
            </w:r>
          </w:p>
          <w:p w14:paraId="23000000">
            <w:pPr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>7. на основании письма ФНС России от 22.12.2016 №АС-4-16/24748@ «О направлении рекомендаций по формированию документов, применяемых при осуществлении внутреннего контроля деятельности по технологическим процессам ФНС России» осуществлять соответствующий самоконтроль по направлениям деятельности работы отдела</w:t>
            </w:r>
          </w:p>
          <w:p w14:paraId="24000000">
            <w:pPr>
              <w:widowControl w:val="0"/>
              <w:ind/>
              <w:rPr>
                <w:sz w:val="24"/>
              </w:rPr>
            </w:pPr>
          </w:p>
          <w:p w14:paraId="25000000">
            <w:pPr>
              <w:widowControl w:val="0"/>
              <w:ind/>
              <w:rPr>
                <w:u w:val="single"/>
              </w:rPr>
            </w:pPr>
            <w:r>
              <w:rPr>
                <w:u w:val="single"/>
              </w:rPr>
              <w:t>Главный  государственный налоговый инспектор отдела камеральных проверок №2</w:t>
            </w:r>
          </w:p>
          <w:p w14:paraId="26000000">
            <w:pPr>
              <w:widowControl w:val="0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1.представлять необходимую информацию для подготовки отчетов аналитическим отделам;</w:t>
            </w:r>
          </w:p>
          <w:p w14:paraId="27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2. контролировать ведение делопроизводства и сохранность бланков строгой отчетности;</w:t>
            </w:r>
          </w:p>
          <w:p w14:paraId="28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3.  контролировать выполнение внутреннего распорядка работы отдела;</w:t>
            </w:r>
          </w:p>
          <w:p w14:paraId="29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4.работать в информационных ресурсах ЭОД, УД ЭОД, ФЦОД, ПК «РЕГИОН», АИС Налог-3;</w:t>
            </w:r>
          </w:p>
          <w:p w14:paraId="2A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5. обеспечивать своевременное и качественное выполнение планов работы, а также заданий начальника (заместителя) инспекции и начальника (заместителя) отдела камеральных проверок №2.</w:t>
            </w:r>
          </w:p>
          <w:p w14:paraId="2B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6.подготавливать налоговые уведомления индивидуальным предпринимателям, физическим лицам, частным нотариусам и другим лицам на уплату налогов.</w:t>
            </w:r>
          </w:p>
          <w:p w14:paraId="2C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исчислять имущественные налоги физических лиц, подготавливать налоговые уведомления и формировать платежные документы на уплату местных и имущественных налогов; </w:t>
            </w:r>
          </w:p>
          <w:p w14:paraId="2D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8. составлять протоколы административных  правонарушений и подготавливать соответствующие документы.</w:t>
            </w:r>
          </w:p>
          <w:p w14:paraId="2E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в отсутствие начальника отдела исполнять обязанности начальника отдела камеральных проверок №2.   </w:t>
            </w:r>
          </w:p>
          <w:p w14:paraId="2F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10. вносить предложения по совершенствованию налогового законодательства;</w:t>
            </w:r>
          </w:p>
          <w:p w14:paraId="30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осуществлять проведение внутреннего контроля, а также организация, координация и/или методологическое сопровождение их выполнения. </w:t>
            </w:r>
          </w:p>
          <w:p w14:paraId="31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32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самоконтроль выполняемых должностным лицом действий; </w:t>
            </w:r>
          </w:p>
          <w:p w14:paraId="33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34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 контроль по уровню подчиненности в отношении выполняемых подчиненными должностными лицами технологических процессов ФНС России (либо операций технологических процессов ФНС России);</w:t>
            </w:r>
          </w:p>
          <w:p w14:paraId="35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12. В целях исполнения возложенных должностных обязанностей старший государственный налоговый инспектор отдела  имеет право:</w:t>
            </w:r>
          </w:p>
          <w:p w14:paraId="36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13. проверять все документы,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14:paraId="37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14.  требовать от физических лиц устранения выявленных нарушений законодательства о налогах и контролировать их выполнение;</w:t>
            </w:r>
          </w:p>
          <w:p w14:paraId="38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15. взаимодействовать со всеми отделами инспекции по вопросам налогового законодательства;</w:t>
            </w:r>
          </w:p>
          <w:p w14:paraId="39000000">
            <w:pPr>
              <w:spacing w:line="264" w:lineRule="auto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16. работать с документами с грифом "Для служебного пользования". </w:t>
            </w:r>
          </w:p>
          <w:p w14:paraId="3A000000">
            <w:pPr>
              <w:ind/>
              <w:jc w:val="both"/>
              <w:rPr>
                <w:sz w:val="24"/>
              </w:rPr>
            </w:pPr>
          </w:p>
          <w:p w14:paraId="3B000000">
            <w:pPr>
              <w:ind w:firstLine="708"/>
              <w:jc w:val="both"/>
              <w:rPr>
                <w:sz w:val="24"/>
              </w:rPr>
            </w:pPr>
          </w:p>
        </w:tc>
      </w:tr>
    </w:tbl>
    <w:p w14:paraId="3C000000">
      <w:pPr>
        <w:widowControl w:val="0"/>
        <w:ind w:firstLine="709"/>
        <w:jc w:val="both"/>
        <w:rPr>
          <w:sz w:val="24"/>
        </w:rPr>
      </w:pPr>
    </w:p>
    <w:p w14:paraId="3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Знания и навыки:  Знание федерального и областного законодательства о налогах применительно к исполнению функциональных обязанностей, правовых основ прохождения федеральной государственной гражданской службы, знание и умение применения на практике локальных нормативных актов, регламентирующих деятельность территориальных налоговых органов.</w:t>
      </w:r>
    </w:p>
    <w:p w14:paraId="3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Дополнительные требования к кандидатам:  Уверенный пользователь ПК, знание программ ЭОД, СЭД. Умение работать с людьми, вести деловые переговоры, владение навыками делового письма, правилами делового этикета, владение оргтехникой.</w:t>
      </w:r>
    </w:p>
    <w:p w14:paraId="3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Денежное содержание федеральных государственных гражданских служащих ИФНС России по Железнодорожному району г. Самары состоит из:</w:t>
      </w:r>
    </w:p>
    <w:p w14:paraId="40000000">
      <w:pPr>
        <w:widowControl w:val="0"/>
        <w:ind w:firstLine="709"/>
        <w:jc w:val="both"/>
        <w:rPr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08"/>
        <w:gridCol w:w="4860"/>
      </w:tblGrid>
      <w:tr>
        <w:tc>
          <w:tcPr>
            <w:tcW w:type="dxa" w:w="5508"/>
            <w:shd w:fill="auto" w:val="clear"/>
            <w:vAlign w:val="center"/>
          </w:tcPr>
          <w:p w14:paraId="41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4860"/>
            <w:shd w:fill="auto" w:val="clear"/>
            <w:vAlign w:val="center"/>
          </w:tcPr>
          <w:p w14:paraId="42000000">
            <w:pPr>
              <w:widowControl w:val="0"/>
              <w:ind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3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60"/>
            <w:shd w:fill="auto" w:val="clear"/>
            <w:vAlign w:val="center"/>
          </w:tcPr>
          <w:p w14:paraId="4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5472 руб.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60"/>
            <w:shd w:fill="auto" w:val="clear"/>
            <w:vAlign w:val="center"/>
          </w:tcPr>
          <w:p w14:paraId="4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1735 руб.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7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60"/>
            <w:shd w:fill="auto" w:val="clear"/>
            <w:vAlign w:val="center"/>
          </w:tcPr>
          <w:p w14:paraId="4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4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4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B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type="dxa" w:w="4860"/>
            <w:shd w:fill="auto" w:val="clear"/>
            <w:vAlign w:val="center"/>
          </w:tcPr>
          <w:p w14:paraId="4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90 - 120%</w:t>
            </w:r>
          </w:p>
          <w:p w14:paraId="4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60"/>
            <w:shd w:fill="auto" w:val="clear"/>
            <w:vAlign w:val="center"/>
          </w:tcPr>
          <w:p w14:paraId="4F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508"/>
            <w:shd w:fill="auto" w:val="clear"/>
            <w:vAlign w:val="center"/>
          </w:tcPr>
          <w:p w14:paraId="50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type="dxa" w:w="4860"/>
            <w:shd w:fill="auto" w:val="clear"/>
            <w:vAlign w:val="center"/>
          </w:tcPr>
          <w:p w14:paraId="5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2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4860"/>
            <w:shd w:fill="auto" w:val="clear"/>
            <w:vAlign w:val="center"/>
          </w:tcPr>
          <w:p w14:paraId="5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4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860"/>
            <w:shd w:fill="auto" w:val="clear"/>
            <w:vAlign w:val="center"/>
          </w:tcPr>
          <w:p w14:paraId="5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6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Материальной помощи</w:t>
            </w:r>
          </w:p>
        </w:tc>
        <w:tc>
          <w:tcPr>
            <w:tcW w:type="dxa" w:w="4860"/>
            <w:shd w:fill="auto" w:val="clear"/>
            <w:vAlign w:val="center"/>
          </w:tcPr>
          <w:p w14:paraId="5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8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60"/>
            <w:shd w:fill="auto" w:val="clear"/>
            <w:vAlign w:val="center"/>
          </w:tcPr>
          <w:p w14:paraId="59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5A000000">
      <w:pPr>
        <w:widowControl w:val="0"/>
        <w:ind/>
        <w:jc w:val="both"/>
        <w:rPr>
          <w:sz w:val="24"/>
        </w:rPr>
      </w:pPr>
    </w:p>
    <w:p w14:paraId="5B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C000000">
      <w:pPr>
        <w:ind w:firstLine="708"/>
        <w:jc w:val="both"/>
        <w:rPr>
          <w:sz w:val="24"/>
        </w:rPr>
      </w:pPr>
    </w:p>
    <w:p w14:paraId="5D000000">
      <w:pPr>
        <w:ind w:firstLine="708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5E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5F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 xml:space="preserve">б) собственноручно заполненную и подписанную анкету,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"consultantplus://offline/ref=D9CB3E47F2BAE2E96B0B7B0483C59C84339ADA0B74795A1D5F467AC6D79F257B3166DD64ECAD5Cw0oAN"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форма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</w:t>
      </w:r>
      <w:r>
        <w:rPr>
          <w:sz w:val="24"/>
        </w:rPr>
        <w:t>которой утверждается Правительством Российской Федерации, с приложением фотографии;</w:t>
      </w:r>
    </w:p>
    <w:p w14:paraId="60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61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62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63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64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 xml:space="preserve">д)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"consultantplus://offline/ref=D9CB3E47F2BAE2E96B0B7B0483C59C843D9DD40979795A1D5F467AC6D79F257B3166DD64ECAF5Bw0o4N"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документ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</w:t>
      </w:r>
      <w:r>
        <w:rPr>
          <w:sz w:val="24"/>
        </w:rPr>
        <w:t>об отсутствии у гражданина заболевания, препятствующего поступлению на гражданскую службу или ее прохождению;</w:t>
      </w:r>
    </w:p>
    <w:p w14:paraId="65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 xml:space="preserve">е) иные документы, предусмотренные Федеральным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"consultantplus://offline/ref=D9CB3E47F2BAE2E96B0B7B0483C59C843699D30D79710717571F76C4D0w9o0N"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</w:t>
      </w:r>
      <w:r>
        <w:rPr>
          <w:sz w:val="24"/>
        </w:rPr>
        <w:t>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6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собственную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14:paraId="68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9000000">
      <w:pPr>
        <w:widowControl w:val="0"/>
        <w:ind w:firstLine="708"/>
        <w:jc w:val="both"/>
        <w:rPr>
          <w:sz w:val="24"/>
        </w:rPr>
      </w:pPr>
      <w:bookmarkStart w:id="1" w:name="sub_1010"/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A000000">
      <w:pPr>
        <w:widowControl w:val="0"/>
        <w:ind w:firstLine="708"/>
        <w:jc w:val="both"/>
        <w:rPr>
          <w:sz w:val="24"/>
        </w:rPr>
      </w:pPr>
      <w:bookmarkEnd w:id="1"/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B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C000000">
      <w:pPr>
        <w:widowControl w:val="0"/>
        <w:ind w:firstLine="708"/>
        <w:jc w:val="both"/>
        <w:rPr>
          <w:sz w:val="24"/>
        </w:rPr>
      </w:pPr>
      <w:bookmarkStart w:id="2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D000000">
      <w:pPr>
        <w:widowControl w:val="0"/>
        <w:ind w:firstLine="708"/>
        <w:jc w:val="both"/>
        <w:rPr>
          <w:sz w:val="24"/>
        </w:rPr>
      </w:pPr>
      <w:bookmarkEnd w:id="2"/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6E000000">
      <w:pPr>
        <w:widowControl w:val="0"/>
        <w:ind w:firstLine="708"/>
        <w:jc w:val="both"/>
        <w:rPr>
          <w:sz w:val="24"/>
        </w:rPr>
      </w:pPr>
      <w:bookmarkStart w:id="3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14:paraId="6F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70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1000000">
      <w:pPr>
        <w:widowControl w:val="0"/>
        <w:ind w:firstLine="708"/>
        <w:jc w:val="both"/>
        <w:rPr>
          <w:sz w:val="24"/>
        </w:rPr>
      </w:pPr>
      <w:bookmarkStart w:id="5" w:name="sub_1024"/>
      <w:bookmarkEnd w:id="4"/>
      <w:r>
        <w:rPr>
          <w:sz w:val="24"/>
        </w:rPr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72000000">
      <w:pPr>
        <w:widowControl w:val="0"/>
        <w:ind w:firstLine="708"/>
        <w:jc w:val="both"/>
        <w:rPr>
          <w:sz w:val="24"/>
        </w:rPr>
      </w:pPr>
      <w:bookmarkStart w:id="6" w:name="sub_1025"/>
      <w:bookmarkEnd w:id="5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73000000">
      <w:pPr>
        <w:widowControl w:val="0"/>
        <w:ind w:firstLine="708"/>
        <w:jc w:val="both"/>
        <w:rPr>
          <w:sz w:val="24"/>
        </w:rPr>
      </w:pPr>
      <w:bookmarkStart w:id="7" w:name="sub_1026"/>
      <w:bookmarkEnd w:id="6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4000000">
      <w:pPr>
        <w:ind w:firstLine="708"/>
        <w:jc w:val="both"/>
        <w:rPr>
          <w:sz w:val="24"/>
        </w:rPr>
      </w:pPr>
      <w:bookmarkStart w:id="8" w:name="sub_1027"/>
      <w:bookmarkEnd w:id="7"/>
      <w:r>
        <w:rPr>
          <w:sz w:val="24"/>
        </w:rPr>
        <w:t xml:space="preserve">Прием  документов  для  участия  в  конкурсе будет проводиться </w:t>
      </w:r>
      <w:r>
        <w:rPr>
          <w:b w:val="1"/>
          <w:sz w:val="24"/>
        </w:rPr>
        <w:t>с 19 марта  2020 года по 8 апреля 2020 года.</w:t>
      </w:r>
      <w:r>
        <w:rPr>
          <w:sz w:val="24"/>
        </w:rPr>
        <w:t xml:space="preserve">  Время приема документов: с 9 часов 30 минут до 17 часов 00 минут.</w:t>
      </w:r>
    </w:p>
    <w:p w14:paraId="75000000">
      <w:pPr>
        <w:ind w:firstLine="708"/>
        <w:jc w:val="both"/>
        <w:rPr>
          <w:sz w:val="24"/>
        </w:rPr>
      </w:pPr>
      <w:r>
        <w:rPr>
          <w:sz w:val="24"/>
        </w:rPr>
        <w:t xml:space="preserve">Адрес приема документов: 443093, г. Самара, ул. М.Тореза, 7, ИФНС России по Железнодорожному району г. Самары, каб. № 4,  e-mail: </w:t>
      </w:r>
      <w:r>
        <w:rPr>
          <w:sz w:val="24"/>
        </w:rPr>
        <w:t>i</w:t>
      </w:r>
      <w:r>
        <w:rPr>
          <w:sz w:val="24"/>
        </w:rPr>
        <w:t>6311@</w:t>
      </w:r>
      <w:r>
        <w:rPr>
          <w:sz w:val="24"/>
        </w:rPr>
        <w:t>r</w:t>
      </w:r>
      <w:r>
        <w:rPr>
          <w:sz w:val="24"/>
        </w:rPr>
        <w:t>63.</w:t>
      </w:r>
      <w:r>
        <w:rPr>
          <w:sz w:val="24"/>
        </w:rPr>
        <w:t>nalog</w:t>
      </w:r>
      <w:r>
        <w:rPr>
          <w:sz w:val="24"/>
        </w:rPr>
        <w:t>.</w:t>
      </w:r>
      <w:r>
        <w:rPr>
          <w:sz w:val="24"/>
        </w:rPr>
        <w:t>ru</w:t>
      </w:r>
    </w:p>
    <w:p w14:paraId="76000000">
      <w:pPr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b w:val="1"/>
          <w:sz w:val="24"/>
        </w:rPr>
        <w:t>23 апреля 2020 года в 15 часов 00 минут</w:t>
      </w:r>
      <w:r>
        <w:rPr>
          <w:sz w:val="24"/>
        </w:rPr>
        <w:t xml:space="preserve">  по адресу: 443093, г. Самара, ул. М.Тореза, 7. </w:t>
      </w:r>
    </w:p>
    <w:p w14:paraId="77000000">
      <w:pPr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14:paraId="78000000">
      <w:pPr>
        <w:ind w:firstLine="708"/>
        <w:jc w:val="both"/>
        <w:rPr>
          <w:sz w:val="24"/>
        </w:rPr>
      </w:pPr>
      <w:bookmarkEnd w:id="8"/>
      <w:r>
        <w:rPr>
          <w:sz w:val="24"/>
        </w:rPr>
        <w:t>Контактный телефон:  +7(846) 933-84-04.</w:t>
      </w:r>
    </w:p>
    <w:p w14:paraId="79000000">
      <w:pPr>
        <w:ind w:firstLine="708"/>
        <w:jc w:val="both"/>
        <w:rPr>
          <w:sz w:val="24"/>
        </w:rPr>
      </w:pPr>
    </w:p>
    <w:p w14:paraId="7A000000">
      <w:pPr>
        <w:ind w:firstLine="708"/>
        <w:jc w:val="both"/>
        <w:rPr>
          <w:sz w:val="24"/>
        </w:rPr>
      </w:pPr>
    </w:p>
    <w:p w14:paraId="7B000000">
      <w:pPr>
        <w:ind/>
        <w:jc w:val="center"/>
        <w:rPr>
          <w:sz w:val="24"/>
        </w:rPr>
      </w:pPr>
    </w:p>
    <w:sectPr>
      <w:headerReference r:id="rId1" w:type="default"/>
      <w:footerReference r:id="rId2" w:type="default"/>
      <w:pgSz w:h="16838" w:w="11906"/>
      <w:pgMar w:bottom="851" w:footer="57" w:gutter="0" w:header="454" w:left="1134" w:right="567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2000000">
    <w:pPr>
      <w:pStyle w:val="Style_3"/>
      <w:ind w:right="360"/>
      <w:rPr>
        <w:sz w:val="16"/>
      </w:rPr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left" w:y="1"/>
    </w:pPr>
    <w:r>
      <w:rPr>
        <w:rStyle w:val="Style_1_ch"/>
        <w:b w:val="1"/>
        <w:i w:val="1"/>
      </w:rPr>
      <w:fldChar w:fldCharType="begin"/>
    </w:r>
    <w:r>
      <w:rPr>
        <w:rStyle w:val="Style_1_ch"/>
        <w:b w:val="1"/>
        <w:i w:val="1"/>
      </w:rPr>
      <w:instrText xml:space="preserve">PAGE </w:instrText>
    </w:r>
    <w:r>
      <w:rPr>
        <w:rStyle w:val="Style_1_ch"/>
        <w:b w:val="1"/>
        <w:i w:val="1"/>
      </w:rPr>
      <w:fldChar w:fldCharType="separate"/>
    </w:r>
    <w:r>
      <w:rPr>
        <w:rStyle w:val="Style_1_ch"/>
        <w:b w:val="1"/>
        <w:i w:val="1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14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6"/>
    </w:rPr>
  </w:style>
  <w:style w:default="1" w:styleId="Style_5_ch" w:type="character">
    <w:name w:val="Normal"/>
    <w:link w:val="Style_5"/>
    <w:rPr>
      <w:sz w:val="26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ody Text"/>
    <w:basedOn w:val="Style_5"/>
    <w:link w:val="Style_12_ch"/>
    <w:pPr>
      <w:spacing w:after="120"/>
      <w:ind/>
    </w:pPr>
  </w:style>
  <w:style w:styleId="Style_12_ch" w:type="character">
    <w:name w:val="Body Text"/>
    <w:basedOn w:val="Style_5_ch"/>
    <w:link w:val="Style_12"/>
  </w:style>
  <w:style w:styleId="Style_13" w:type="paragraph">
    <w:name w:val="Стиль1"/>
    <w:basedOn w:val="Style_5"/>
    <w:link w:val="Style_13_ch"/>
    <w:pPr>
      <w:ind/>
      <w:jc w:val="both"/>
    </w:pPr>
    <w:rPr>
      <w:sz w:val="28"/>
    </w:rPr>
  </w:style>
  <w:style w:styleId="Style_13_ch" w:type="character">
    <w:name w:val="Стиль1"/>
    <w:basedOn w:val="Style_5_ch"/>
    <w:link w:val="Style_13"/>
    <w:rPr>
      <w:sz w:val="28"/>
    </w:rPr>
  </w:style>
  <w:style w:styleId="Style_1" w:type="paragraph">
    <w:name w:val="page number"/>
    <w:basedOn w:val="Style_14"/>
    <w:link w:val="Style_1_ch"/>
  </w:style>
  <w:style w:styleId="Style_1_ch" w:type="character">
    <w:name w:val="page number"/>
    <w:basedOn w:val="Style_14_ch"/>
    <w:link w:val="Style_1"/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15" w:type="paragraph">
    <w:name w:val="caption"/>
    <w:basedOn w:val="Style_5"/>
    <w:next w:val="Style_5"/>
    <w:link w:val="Style_15_ch"/>
    <w:pPr>
      <w:spacing w:after="240" w:before="120"/>
      <w:ind/>
      <w:jc w:val="center"/>
    </w:pPr>
    <w:rPr>
      <w:b w:val="1"/>
      <w:sz w:val="24"/>
    </w:rPr>
  </w:style>
  <w:style w:styleId="Style_15_ch" w:type="character">
    <w:name w:val="caption"/>
    <w:basedOn w:val="Style_5_ch"/>
    <w:link w:val="Style_15"/>
    <w:rPr>
      <w:b w:val="1"/>
      <w:sz w:val="24"/>
    </w:rPr>
  </w:style>
  <w:style w:styleId="Style_16" w:type="paragraph">
    <w:name w:val="toc 3"/>
    <w:next w:val="Style_5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4" w:type="paragraph">
    <w:name w:val=" Знак"/>
    <w:basedOn w:val="Style_5"/>
    <w:link w:val="Style_14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14_ch" w:type="character">
    <w:name w:val=" Знак"/>
    <w:basedOn w:val="Style_5_ch"/>
    <w:link w:val="Style_14"/>
    <w:rPr>
      <w:b w:val="1"/>
      <w:i w:val="1"/>
      <w:sz w:val="28"/>
    </w:rPr>
  </w:style>
  <w:style w:styleId="Style_17" w:type="paragraph">
    <w:name w:val="heading 5"/>
    <w:basedOn w:val="Style_5"/>
    <w:next w:val="Style_5"/>
    <w:link w:val="Style_17_ch"/>
    <w:uiPriority w:val="9"/>
    <w:qFormat/>
    <w:pPr>
      <w:spacing w:after="60" w:before="240"/>
      <w:ind/>
      <w:outlineLvl w:val="4"/>
    </w:pPr>
    <w:rPr>
      <w:b w:val="1"/>
      <w:i w:val="1"/>
    </w:rPr>
  </w:style>
  <w:style w:styleId="Style_17_ch" w:type="character">
    <w:name w:val="heading 5"/>
    <w:basedOn w:val="Style_5_ch"/>
    <w:link w:val="Style_17"/>
    <w:rPr>
      <w:b w:val="1"/>
      <w:i w:val="1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5"/>
    <w:link w:val="Style_20_ch"/>
    <w:pPr>
      <w:ind w:hanging="170" w:left="170"/>
      <w:jc w:val="both"/>
    </w:pPr>
    <w:rPr>
      <w:sz w:val="20"/>
    </w:rPr>
  </w:style>
  <w:style w:styleId="Style_20_ch" w:type="character">
    <w:name w:val="Footnote"/>
    <w:basedOn w:val="Style_5_ch"/>
    <w:link w:val="Style_20"/>
    <w:rPr>
      <w:sz w:val="20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Body Text 3"/>
    <w:basedOn w:val="Style_5"/>
    <w:link w:val="Style_23_ch"/>
    <w:pPr>
      <w:ind/>
      <w:jc w:val="center"/>
    </w:pPr>
    <w:rPr>
      <w:b w:val="1"/>
      <w:sz w:val="28"/>
    </w:rPr>
  </w:style>
  <w:style w:styleId="Style_23_ch" w:type="character">
    <w:name w:val="Body Text 3"/>
    <w:basedOn w:val="Style_5_ch"/>
    <w:link w:val="Style_23"/>
    <w:rPr>
      <w:b w:val="1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5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ConsPlusNormal"/>
    <w:link w:val="Style_27_ch"/>
    <w:pPr>
      <w:widowControl w:val="0"/>
      <w:ind w:firstLine="72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5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Body Text 2"/>
    <w:basedOn w:val="Style_5"/>
    <w:link w:val="Style_33_ch"/>
    <w:pPr>
      <w:spacing w:after="120" w:line="480" w:lineRule="auto"/>
      <w:ind/>
    </w:pPr>
  </w:style>
  <w:style w:styleId="Style_33_ch" w:type="character">
    <w:name w:val="Body Text 2"/>
    <w:basedOn w:val="Style_5_ch"/>
    <w:link w:val="Style_33"/>
  </w:style>
  <w:style w:styleId="Style_34" w:type="paragraph">
    <w:name w:val="Знак Знак"/>
    <w:basedOn w:val="Style_5"/>
    <w:link w:val="Style_34_ch"/>
    <w:pPr>
      <w:widowControl w:val="0"/>
      <w:tabs>
        <w:tab w:leader="none" w:pos="720" w:val="left"/>
      </w:tabs>
      <w:spacing w:after="160" w:line="240" w:lineRule="exact"/>
      <w:ind w:hanging="180" w:left="720"/>
      <w:jc w:val="center"/>
    </w:pPr>
    <w:rPr>
      <w:b w:val="1"/>
      <w:i w:val="1"/>
      <w:sz w:val="28"/>
    </w:rPr>
  </w:style>
  <w:style w:styleId="Style_34_ch" w:type="character">
    <w:name w:val="Знак Знак"/>
    <w:basedOn w:val="Style_5_ch"/>
    <w:link w:val="Style_34"/>
    <w:rPr>
      <w:b w:val="1"/>
      <w:i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